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Default="00590EB0" w:rsidP="00AB4705">
      <w:pPr>
        <w:pStyle w:val="NoSpacing"/>
        <w:ind w:left="1440" w:firstLine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6pt;margin-top:-9.5pt;width:229.95pt;height:193.55pt;z-index:251660288" stroked="f">
            <v:textbox style="mso-next-textbox:#_x0000_s1026">
              <w:txbxContent>
                <w:p w:rsidR="00AB4705" w:rsidRPr="00FF7B2F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FF7B2F">
                    <w:rPr>
                      <w:rFonts w:ascii="Times New Roman" w:hAnsi="Times New Roman" w:cs="Times New Roman"/>
                    </w:rPr>
                    <w:t>ROMÂNIA</w:t>
                  </w:r>
                </w:p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4735">
                    <w:rPr>
                      <w:rFonts w:ascii="Times New Roman" w:hAnsi="Times New Roman" w:cs="Times New Roman"/>
                    </w:rPr>
                    <w:t>MINISTERUL APĂRĂRII NAŢIONALE</w:t>
                  </w:r>
                </w:p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CF4735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CF473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38200" cy="966655"/>
                        <wp:effectExtent l="19050" t="0" r="0" b="0"/>
                        <wp:docPr id="3" name="Imagine 0" descr="STEMA SM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0" descr="STEMA SM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621" cy="969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CF4735">
                    <w:rPr>
                      <w:rFonts w:ascii="Times New Roman" w:hAnsi="Times New Roman" w:cs="Times New Roman"/>
                    </w:rPr>
                    <w:t xml:space="preserve">       SPITALUL MILITAR DE URGENŢĂ</w:t>
                  </w:r>
                </w:p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CF4735">
                    <w:rPr>
                      <w:rFonts w:ascii="Times New Roman" w:hAnsi="Times New Roman" w:cs="Times New Roman"/>
                    </w:rPr>
                    <w:t xml:space="preserve">  „Dr. ALEXANDRU POPESCU”</w:t>
                  </w:r>
                </w:p>
                <w:p w:rsidR="00AB4705" w:rsidRPr="00FF7B2F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Compartimentul secretariat și relații publice</w:t>
                  </w:r>
                  <w:r w:rsidRPr="00FF7B2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</w:t>
                  </w:r>
                </w:p>
                <w:p w:rsidR="00AB4705" w:rsidRPr="0090392D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B2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</w:t>
                  </w:r>
                  <w:r w:rsidRPr="00FF7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CF4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CF47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r. </w:t>
                  </w:r>
                  <w:r w:rsidR="00DA41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A20</w:t>
                  </w:r>
                  <w:r w:rsidR="00E71A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F06B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din </w:t>
                  </w:r>
                  <w:r w:rsidR="00DA41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04.01.2021</w:t>
                  </w:r>
                </w:p>
                <w:p w:rsidR="00AB4705" w:rsidRPr="00CF4735" w:rsidRDefault="00AB4705" w:rsidP="00AB4705">
                  <w:pPr>
                    <w:rPr>
                      <w:b/>
                      <w:bCs/>
                    </w:rPr>
                  </w:pPr>
                  <w:r w:rsidRPr="00CF4735">
                    <w:rPr>
                      <w:b/>
                      <w:bCs/>
                    </w:rPr>
                    <w:t xml:space="preserve">                             </w:t>
                  </w:r>
                  <w:r w:rsidRPr="00CF4735">
                    <w:rPr>
                      <w:bCs/>
                    </w:rPr>
                    <w:t>Focşani</w:t>
                  </w:r>
                </w:p>
                <w:p w:rsidR="00AB4705" w:rsidRDefault="00AB4705" w:rsidP="00AB470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45.45pt;margin-top:-38.45pt;width:101.25pt;height:39.25pt;z-index:251661312" stroked="f">
            <v:textbox style="mso-next-textbox:#_x0000_s1027">
              <w:txbxContent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NECLASIFICAT</w:t>
                  </w:r>
                </w:p>
                <w:p w:rsidR="00AB4705" w:rsidRPr="00CF4735" w:rsidRDefault="00AB4705" w:rsidP="00AB470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Exemplar unic</w:t>
                  </w:r>
                </w:p>
              </w:txbxContent>
            </v:textbox>
          </v:shape>
        </w:pict>
      </w:r>
      <w:r w:rsidR="00AB47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4705" w:rsidRPr="00AB4705">
        <w:rPr>
          <w:rFonts w:ascii="Times New Roman" w:hAnsi="Times New Roman" w:cs="Times New Roman"/>
          <w:sz w:val="24"/>
          <w:szCs w:val="24"/>
        </w:rPr>
        <w:t>NECLASIFICA</w:t>
      </w:r>
      <w:r w:rsidR="00AB4705">
        <w:rPr>
          <w:rFonts w:ascii="Times New Roman" w:hAnsi="Times New Roman" w:cs="Times New Roman"/>
          <w:sz w:val="24"/>
          <w:szCs w:val="24"/>
        </w:rPr>
        <w:t xml:space="preserve">T  </w:t>
      </w:r>
    </w:p>
    <w:p w:rsidR="00AB4705" w:rsidRPr="00AB4705" w:rsidRDefault="00AB4705" w:rsidP="00AB4705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4705">
        <w:rPr>
          <w:rFonts w:ascii="Times New Roman" w:hAnsi="Times New Roman" w:cs="Times New Roman"/>
          <w:sz w:val="24"/>
          <w:szCs w:val="24"/>
        </w:rPr>
        <w:t xml:space="preserve">Exemplar unic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4705" w:rsidRPr="00CF4735" w:rsidRDefault="00AB4705" w:rsidP="00AB4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201A9">
        <w:rPr>
          <w:noProof/>
          <w:sz w:val="24"/>
          <w:szCs w:val="24"/>
        </w:rPr>
        <w:drawing>
          <wp:inline distT="0" distB="0" distL="0" distR="0">
            <wp:extent cx="1094132" cy="757905"/>
            <wp:effectExtent l="19050" t="0" r="0" b="0"/>
            <wp:docPr id="1" name="Picture 4" descr="C:\Users\galitia\Downloads\logo-unit-in-proces-de-acreditare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tia\Downloads\logo-unit-in-proces-de-acreditare[1]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7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Pr="00CF4735" w:rsidRDefault="00AB4705" w:rsidP="00AB4705">
      <w:pPr>
        <w:pStyle w:val="NoSpacing"/>
        <w:ind w:firstLine="720"/>
        <w:jc w:val="center"/>
        <w:rPr>
          <w:sz w:val="24"/>
          <w:szCs w:val="24"/>
        </w:rPr>
      </w:pPr>
    </w:p>
    <w:p w:rsidR="00AB4705" w:rsidRDefault="00AB4705" w:rsidP="00AB4705">
      <w:pPr>
        <w:pStyle w:val="NoSpacing"/>
        <w:ind w:firstLine="720"/>
        <w:jc w:val="center"/>
      </w:pPr>
    </w:p>
    <w:p w:rsidR="0090392D" w:rsidRDefault="0090392D" w:rsidP="00AB4705">
      <w:pPr>
        <w:pStyle w:val="NoSpacing"/>
        <w:ind w:firstLine="720"/>
        <w:jc w:val="center"/>
      </w:pPr>
    </w:p>
    <w:p w:rsidR="00AB4705" w:rsidRDefault="00590EB0" w:rsidP="00AB4705">
      <w:pPr>
        <w:pStyle w:val="NoSpacing"/>
        <w:ind w:firstLine="720"/>
        <w:jc w:val="center"/>
        <w:rPr>
          <w:sz w:val="24"/>
          <w:szCs w:val="24"/>
        </w:rPr>
      </w:pPr>
      <w:hyperlink r:id="rId8" w:tgtFrame="_blank" w:history="1">
        <w:r w:rsidR="00AB4705" w:rsidRPr="00CF4735"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t>RAPORT DE EVALUARE</w:t>
        </w:r>
        <w:r w:rsidR="00AB4705" w:rsidRPr="00CF4735"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br/>
          <w:t>a implementării Legii nr. 544/2001 în anul 20</w:t>
        </w:r>
        <w:r w:rsidR="00E71AFC"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t>20</w:t>
        </w:r>
      </w:hyperlink>
    </w:p>
    <w:p w:rsidR="00AB4705" w:rsidRPr="00CF4735" w:rsidRDefault="00AB4705" w:rsidP="00AB470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B4705" w:rsidRPr="00CF4735" w:rsidRDefault="00AB4705" w:rsidP="00AB47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Subsemnatul, plt.maj. Galiță Adrian, responsabil de aplicarea Legii </w:t>
      </w:r>
      <w:hyperlink r:id="rId9" w:tgtFrame="_blank" w:history="1">
        <w:r w:rsidRPr="007201A9"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t>nr. 544/2001</w:t>
        </w:r>
      </w:hyperlink>
      <w:r w:rsidRPr="00CF473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ulterioare, în anul 20</w:t>
      </w:r>
      <w:r w:rsidR="00C4009A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CF4735">
        <w:rPr>
          <w:rFonts w:ascii="Times New Roman" w:hAnsi="Times New Roman" w:cs="Times New Roman"/>
          <w:sz w:val="24"/>
          <w:szCs w:val="24"/>
          <w:lang w:val="ro-RO"/>
        </w:rPr>
        <w:t>, prezint actualul raport de evaluare internă finalizat în urma aplicării procedurilor de acces la informații de interes public, prin care apreciez că activitatea specifică a instituției a fost: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Foarte bună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Bună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Satisfăcătoare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Nesatisfăcătoare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Îmi întemeiez aceste observații pe următoarele considerente și rezultate privind anul . . . . . . . . . .: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I. Resurse și proces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1. Cum apreciați resursele umane disponibile pentru activitatea de furnizare a informațiilor de interes public?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Suficiente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Insuficiente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2. Apreciați că resursele material disponibile pentru activitatea de furnizarea informațiilor de interes public sunt: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Suficiente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Insuficiente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3. Cum apreciați colaborarea cu direcțiile de specialitate din cadrul instituției dumneavoastră în furnizarea accesului la informații de interes public: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Foarte bună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Bună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Satisfăcătoare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Nesatisfăcătoare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II. Rezultate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A. Informații publicate din oficiu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1. Instituția dumneavoastră a afișat informațiile/documentele comunicate din oficiu, conform </w:t>
      </w:r>
      <w:hyperlink r:id="rId10" w:anchor="p-12797656" w:tgtFrame="_blank" w:history="1">
        <w:r w:rsidRPr="007201A9"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t>art. 5</w:t>
        </w:r>
      </w:hyperlink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 din Legea nr. 544/2001, cu modificările și completările ulterioare?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lastRenderedPageBreak/>
        <w:t>x Pe pagina de internet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La sediul instituției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În presă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În Monitorul Oficial al României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În altă modalitate: . . . . . . . . . 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2. Apreciați că afișarea informațiilor a fost suficient de vizibilă pentru cei interesați?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Da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Nu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3. Care sunt soluțiile pentru creșterea vizibilității informațiilor publicate, pe care instituția dumneavoastră le-au aplicat?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a) Actualizarea permanentă a paginii web cu informații de interes public;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b) Promovarea paginii web a spitalului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4. A publicat instituția dumneavoastră seturi de date suplimentare din oficiu, față de cele minimale prevăzute de lege?</w:t>
      </w:r>
    </w:p>
    <w:p w:rsidR="00AB4705" w:rsidRPr="007201A9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7201A9">
        <w:rPr>
          <w:rFonts w:ascii="Times New Roman" w:hAnsi="Times New Roman" w:cs="Times New Roman"/>
          <w:sz w:val="24"/>
          <w:szCs w:val="24"/>
          <w:lang w:val="ro-RO"/>
        </w:rPr>
        <w:t>x Da, acestea fiind: noutăți legislative în domeniul medical.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Nu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5. Sunt informațiile publicate într-un format deschis?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x Da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Nu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6. Care sunt măsurile interne pe care intenționați să le aplicați pentru publicarea unui număr cât mai mare de seturi de date în format deschis?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Îmbunătățirea informării interne, în vederea identificării informațiilor ce pot deveni de interes public și eficientizarea transmiterii lor către cei interesați</w:t>
      </w:r>
    </w:p>
    <w:p w:rsidR="00AB470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>Promovarea evenimentelor pe pagina web a spitalului.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B. Informații furnizate la cerere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1558"/>
        <w:gridCol w:w="1570"/>
        <w:gridCol w:w="1536"/>
        <w:gridCol w:w="957"/>
        <w:gridCol w:w="1681"/>
      </w:tblGrid>
      <w:tr w:rsidR="003C4FDA" w:rsidRPr="00CF4735" w:rsidTr="003C4FDA">
        <w:trPr>
          <w:trHeight w:val="314"/>
        </w:trPr>
        <w:tc>
          <w:tcPr>
            <w:tcW w:w="33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1. Numărul total de solicitări de informații de interes public</w:t>
            </w:r>
          </w:p>
        </w:tc>
        <w:tc>
          <w:tcPr>
            <w:tcW w:w="31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În funcție de solicitant</w:t>
            </w:r>
          </w:p>
        </w:tc>
        <w:tc>
          <w:tcPr>
            <w:tcW w:w="41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După modalitatea de adresare</w:t>
            </w:r>
          </w:p>
        </w:tc>
      </w:tr>
      <w:tr w:rsidR="003C4FDA" w:rsidRPr="00CF4735" w:rsidTr="003C4FDA">
        <w:trPr>
          <w:trHeight w:val="314"/>
        </w:trPr>
        <w:tc>
          <w:tcPr>
            <w:tcW w:w="3330" w:type="dxa"/>
            <w:vMerge/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de la persoane fizice</w:t>
            </w:r>
          </w:p>
        </w:tc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de la persoane juridice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pe suport hârtie</w:t>
            </w:r>
          </w:p>
        </w:tc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pe suport electronic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</w:p>
        </w:tc>
      </w:tr>
      <w:tr w:rsidR="003C4FDA" w:rsidRPr="00CF4735" w:rsidTr="003C4FDA">
        <w:trPr>
          <w:trHeight w:val="314"/>
        </w:trPr>
        <w:tc>
          <w:tcPr>
            <w:tcW w:w="3330" w:type="dxa"/>
            <w:vAlign w:val="center"/>
            <w:hideMark/>
          </w:tcPr>
          <w:p w:rsidR="003C4FDA" w:rsidRPr="00CF4735" w:rsidRDefault="003C4FD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0F6CC9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BF7A1B" w:rsidP="00B85D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vanish/>
          <w:sz w:val="24"/>
          <w:szCs w:val="24"/>
          <w:lang w:val="ro-RO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6"/>
        <w:gridCol w:w="2516"/>
      </w:tblGrid>
      <w:tr w:rsidR="003C4FDA" w:rsidRPr="00CF4735" w:rsidTr="003C4FDA">
        <w:trPr>
          <w:trHeight w:val="1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DA" w:rsidRPr="00CF4735" w:rsidTr="003C4FDA">
        <w:trPr>
          <w:trHeight w:val="306"/>
        </w:trPr>
        <w:tc>
          <w:tcPr>
            <w:tcW w:w="106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Departajare pe domenii de interes</w:t>
            </w:r>
          </w:p>
        </w:tc>
      </w:tr>
      <w:tr w:rsidR="003C4FDA" w:rsidRPr="00CF4735" w:rsidTr="003C4FDA">
        <w:trPr>
          <w:trHeight w:val="306"/>
        </w:trPr>
        <w:tc>
          <w:tcPr>
            <w:tcW w:w="8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a) Utilizarea banilor publici (contracte, investiții, cheltuieli etc.)</w:t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FDA" w:rsidRPr="00CF4735" w:rsidTr="003C4FDA">
        <w:trPr>
          <w:trHeight w:val="306"/>
        </w:trPr>
        <w:tc>
          <w:tcPr>
            <w:tcW w:w="8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b) Modul de îndeplinire a atribuțiilor instituției publice</w:t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FDA" w:rsidRPr="00CF4735" w:rsidTr="003C4FDA">
        <w:trPr>
          <w:trHeight w:val="363"/>
        </w:trPr>
        <w:tc>
          <w:tcPr>
            <w:tcW w:w="8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c) Acte normative, reglementări</w:t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FDA" w:rsidRPr="00CF4735" w:rsidTr="003C4FDA">
        <w:trPr>
          <w:trHeight w:val="306"/>
        </w:trPr>
        <w:tc>
          <w:tcPr>
            <w:tcW w:w="8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d) Activitatea liderilor instituției</w:t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FDA" w:rsidRPr="00CF4735" w:rsidTr="003C4FDA">
        <w:trPr>
          <w:trHeight w:val="306"/>
        </w:trPr>
        <w:tc>
          <w:tcPr>
            <w:tcW w:w="811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e) Informații privind modul de aplicare a Legii nr. 544/2001, cu modificările și completările ulterioare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FDA" w:rsidRPr="00CF473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FDA" w:rsidRPr="00CF4735" w:rsidTr="003C4FDA">
        <w:trPr>
          <w:trHeight w:val="319"/>
        </w:trPr>
        <w:tc>
          <w:tcPr>
            <w:tcW w:w="8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61A" w:rsidRDefault="003C4FD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f) Altele, cu menționarea acestora:</w:t>
            </w:r>
            <w:r w:rsidR="00E7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DA" w:rsidRDefault="00E71AFC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profil personal medical (medici, asisten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ți, infirmiere)</w:t>
            </w:r>
            <w:r w:rsidR="0068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7361A" w:rsidRPr="00B85DCA" w:rsidRDefault="0087361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 activități ale personalului spitalului</w:t>
            </w:r>
            <w:r w:rsidR="00981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="000F6C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5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aparatură medicală</w:t>
            </w:r>
            <w:r w:rsidR="00981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nouă</w:t>
            </w:r>
            <w:r w:rsidR="0068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7361A" w:rsidRPr="00E71AFC" w:rsidRDefault="0087361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date site web </w:t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CC9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C9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F6CC9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F6CC9" w:rsidRPr="00CF473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vanish/>
          <w:sz w:val="24"/>
          <w:szCs w:val="24"/>
          <w:lang w:val="ro-RO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08"/>
        <w:gridCol w:w="589"/>
        <w:gridCol w:w="750"/>
        <w:gridCol w:w="606"/>
        <w:gridCol w:w="804"/>
        <w:gridCol w:w="804"/>
        <w:gridCol w:w="804"/>
        <w:gridCol w:w="700"/>
        <w:gridCol w:w="713"/>
        <w:gridCol w:w="893"/>
        <w:gridCol w:w="659"/>
        <w:gridCol w:w="1042"/>
        <w:gridCol w:w="567"/>
      </w:tblGrid>
      <w:tr w:rsidR="00717711" w:rsidRPr="00AB4705" w:rsidTr="00717711">
        <w:trPr>
          <w:trHeight w:val="841"/>
        </w:trPr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 xml:space="preserve">2. Număr total de solicitări </w:t>
            </w:r>
            <w:r w:rsidRPr="00AB4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soluționate favorabil</w:t>
            </w:r>
          </w:p>
        </w:tc>
        <w:tc>
          <w:tcPr>
            <w:tcW w:w="26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Termen de răspuns</w:t>
            </w:r>
          </w:p>
        </w:tc>
        <w:tc>
          <w:tcPr>
            <w:tcW w:w="24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Modul de comunicare</w:t>
            </w:r>
          </w:p>
        </w:tc>
        <w:tc>
          <w:tcPr>
            <w:tcW w:w="457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Departajate pe domenii de interes</w:t>
            </w:r>
          </w:p>
        </w:tc>
      </w:tr>
      <w:tr w:rsidR="00F2799A" w:rsidRPr="00AB4705" w:rsidTr="009813B0">
        <w:trPr>
          <w:cantSplit/>
          <w:trHeight w:val="2213"/>
        </w:trPr>
        <w:tc>
          <w:tcPr>
            <w:tcW w:w="993" w:type="dxa"/>
            <w:vMerge/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Comunicare verbală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Utilizarea banilor publici (contracte, investiții, cheltuieli etc.)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Modul de îndeplinire a atribuțiilor instituției publice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Activitatea liderilor instituției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3C4FDA" w:rsidRDefault="00AB4705" w:rsidP="00F279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FDA" w:rsidRPr="00F2799A">
              <w:rPr>
                <w:rFonts w:ascii="Times New Roman" w:hAnsi="Times New Roman" w:cs="Times New Roman"/>
              </w:rPr>
              <w:t>Informații privind modul de aplicare a Legii nr. 544/2001, cu modificările și completările ulterioare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705" w:rsidRPr="00AB4705" w:rsidRDefault="00AB4705" w:rsidP="00883C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Altele (se precizează care)</w:t>
            </w:r>
          </w:p>
        </w:tc>
      </w:tr>
      <w:tr w:rsidR="00F2799A" w:rsidRPr="00AB4705" w:rsidTr="009813B0">
        <w:trPr>
          <w:trHeight w:val="271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9813B0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3C4FDA" w:rsidRDefault="000F6CC9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705" w:rsidRPr="00AB4705" w:rsidRDefault="00AB4705" w:rsidP="00883C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3. Menționați principalele cauze pentru care anumite răspunsuri nu au fost transmise în termenul legal: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Nu au existat astfel de situații.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4. Ce măsuri au fost luate pentru ca această problemă să fie rezolvată?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Nu au fost măsuri de luat.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046"/>
        <w:gridCol w:w="1081"/>
        <w:gridCol w:w="1026"/>
        <w:gridCol w:w="1061"/>
        <w:gridCol w:w="1081"/>
        <w:gridCol w:w="1259"/>
        <w:gridCol w:w="1094"/>
        <w:gridCol w:w="1245"/>
        <w:gridCol w:w="864"/>
      </w:tblGrid>
      <w:tr w:rsidR="00F2799A" w:rsidRPr="00CF4735" w:rsidTr="00F2799A">
        <w:trPr>
          <w:trHeight w:val="345"/>
        </w:trPr>
        <w:tc>
          <w:tcPr>
            <w:tcW w:w="8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5. Număr total de solicitări respinse</w:t>
            </w:r>
          </w:p>
        </w:tc>
        <w:tc>
          <w:tcPr>
            <w:tcW w:w="3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Motivul respingerii</w:t>
            </w:r>
          </w:p>
        </w:tc>
        <w:tc>
          <w:tcPr>
            <w:tcW w:w="66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Departajate pe domenii de interes</w:t>
            </w:r>
          </w:p>
        </w:tc>
      </w:tr>
      <w:tr w:rsidR="00F2799A" w:rsidRPr="00CF4735" w:rsidTr="00F2799A">
        <w:trPr>
          <w:trHeight w:val="2447"/>
        </w:trPr>
        <w:tc>
          <w:tcPr>
            <w:tcW w:w="875" w:type="dxa"/>
            <w:vMerge/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Exceptate, conform legii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Informații inexistente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Alte motive (cu precizarea acestora)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Utilizarea banilor publici (contracte, investiții, cheltuieli etc.)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Modul de îndeplinire a atribuțiilor instituției publice</w:t>
            </w:r>
          </w:p>
        </w:tc>
        <w:tc>
          <w:tcPr>
            <w:tcW w:w="12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Acte normative, reglementări</w:t>
            </w:r>
          </w:p>
        </w:tc>
        <w:tc>
          <w:tcPr>
            <w:tcW w:w="1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Activitatea liderilor instituției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Informații privind modul de aplicare a Legii nr. 544/2001, cu modificările și completările ulterioare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Altele (se precizează care)</w:t>
            </w:r>
          </w:p>
        </w:tc>
      </w:tr>
      <w:tr w:rsidR="00F2799A" w:rsidRPr="00CF4735" w:rsidTr="00F2799A">
        <w:trPr>
          <w:trHeight w:val="300"/>
        </w:trPr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5.1. Informațiile solicitate nefurnizate pentru motivul exceptării acestora conform legii: (enumerarea numelor documentelor/informațiilor solicitate):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. . . . . . . . . 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6. Reclamații administrative și plângeri în instanță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340"/>
        <w:gridCol w:w="1645"/>
        <w:gridCol w:w="790"/>
        <w:gridCol w:w="1687"/>
        <w:gridCol w:w="1073"/>
        <w:gridCol w:w="1559"/>
        <w:gridCol w:w="851"/>
      </w:tblGrid>
      <w:tr w:rsidR="00F2799A" w:rsidRPr="00CF4735" w:rsidTr="0090392D">
        <w:trPr>
          <w:trHeight w:val="946"/>
        </w:trPr>
        <w:tc>
          <w:tcPr>
            <w:tcW w:w="54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6.1. Numărul de reclamații administrative la adresa instituției publice în baza Legii nr. 544/2001, cu modificările și completările ulterioare</w:t>
            </w:r>
          </w:p>
        </w:tc>
        <w:tc>
          <w:tcPr>
            <w:tcW w:w="5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6.2. Numărul de plângeri în instanță la adresa instituției în baza Legii nr. 544/2001, cu modificările și completările ulterioare</w:t>
            </w:r>
          </w:p>
        </w:tc>
      </w:tr>
      <w:tr w:rsidR="00F2799A" w:rsidRPr="00CF4735" w:rsidTr="0090392D">
        <w:trPr>
          <w:trHeight w:val="539"/>
        </w:trPr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Soluționate favorabil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Respinse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În curs de soluționare</w:t>
            </w:r>
          </w:p>
        </w:tc>
        <w:tc>
          <w:tcPr>
            <w:tcW w:w="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Soluționate favorabil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Respinse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În curs de soluționare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2799A" w:rsidRPr="00CF4735" w:rsidTr="0090392D">
        <w:trPr>
          <w:trHeight w:val="291"/>
        </w:trPr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7. Managementul procesului de comunicare a informațiilor de interes public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7.1. Costuri</w:t>
      </w: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911"/>
        <w:gridCol w:w="2511"/>
        <w:gridCol w:w="3334"/>
      </w:tblGrid>
      <w:tr w:rsidR="00F2799A" w:rsidRPr="00CF4735" w:rsidTr="0090392D">
        <w:trPr>
          <w:trHeight w:val="1379"/>
        </w:trPr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Costuri totale de funcționare ale compartimentului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Sume încasate din serviciul de copiere</w:t>
            </w:r>
          </w:p>
        </w:tc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Contravaloarea serviciului de copiere (lei/pagină)</w:t>
            </w:r>
          </w:p>
        </w:tc>
        <w:tc>
          <w:tcPr>
            <w:tcW w:w="3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Care este documentul care stă la baza stabilirii contravalorii serviciului de copiere?</w:t>
            </w:r>
          </w:p>
        </w:tc>
      </w:tr>
      <w:tr w:rsidR="00F2799A" w:rsidRPr="00CF4735" w:rsidTr="0090392D">
        <w:trPr>
          <w:trHeight w:val="297"/>
        </w:trPr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7E3592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799A" w:rsidRPr="00CF4735">
              <w:rPr>
                <w:sz w:val="24"/>
                <w:szCs w:val="24"/>
              </w:rPr>
              <w:t>00 lei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9A" w:rsidRPr="00CF4735" w:rsidRDefault="00F2799A" w:rsidP="00883C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7.2. Creșterea eficienței accesului la informații de interes public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a) Instituția dumneavoastră deține un punct de informare/bibliotecă virtuală în care sunt publicate seturi de date de interes public ?</w:t>
      </w:r>
    </w:p>
    <w:p w:rsidR="00AB4705" w:rsidRPr="007201A9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7201A9">
        <w:rPr>
          <w:rFonts w:ascii="Times New Roman" w:hAnsi="Times New Roman" w:cs="Times New Roman"/>
          <w:sz w:val="24"/>
          <w:szCs w:val="24"/>
          <w:lang w:val="ro-RO"/>
        </w:rPr>
        <w:t>x Da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□ Nu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b) Enumerați punctele pe care le considerați necesar a fi îmbunătățite la nivelul instituției dumneavoastră pentru creșterea eficienței procesului de asigurare a accesului la informații de interes public: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Instruirea continuă a </w:t>
      </w:r>
      <w:r w:rsidR="0090392D">
        <w:rPr>
          <w:rFonts w:ascii="Times New Roman" w:hAnsi="Times New Roman" w:cs="Times New Roman"/>
          <w:sz w:val="24"/>
          <w:szCs w:val="24"/>
          <w:lang w:val="ro-RO"/>
        </w:rPr>
        <w:t>personalului spitalului</w:t>
      </w:r>
      <w:r w:rsidRPr="00CF4735">
        <w:rPr>
          <w:rFonts w:ascii="Times New Roman" w:hAnsi="Times New Roman" w:cs="Times New Roman"/>
          <w:sz w:val="24"/>
          <w:szCs w:val="24"/>
          <w:lang w:val="ro-RO"/>
        </w:rPr>
        <w:t xml:space="preserve"> cu privire la Legea 544/2001 privind liberul acces la informații de interes public și Regulamentul general privind protecția datelor nr. 679/2016.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c) Enumerați măsurile luate pentru îmbunătățirea procesului de asigurare a accesului la informații de interes public: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F4735">
        <w:rPr>
          <w:rFonts w:ascii="Times New Roman" w:hAnsi="Times New Roman" w:cs="Times New Roman"/>
          <w:sz w:val="24"/>
          <w:szCs w:val="24"/>
          <w:lang w:val="ro-RO"/>
        </w:rPr>
        <w:t>Postarea permanentă pe pagina web a informațiilor de interes public</w:t>
      </w:r>
      <w:r w:rsidR="0090392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B4705" w:rsidRPr="00CF473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B4705" w:rsidRDefault="00AB4705" w:rsidP="00AB47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705" w:rsidRPr="0090392D" w:rsidRDefault="0090392D" w:rsidP="0090392D">
      <w:pPr>
        <w:tabs>
          <w:tab w:val="left" w:pos="6709"/>
        </w:tabs>
        <w:rPr>
          <w:lang w:val="ro-RO"/>
        </w:rPr>
      </w:pPr>
      <w:r>
        <w:t xml:space="preserve">                                                                                                     </w:t>
      </w:r>
      <w:r>
        <w:rPr>
          <w:lang w:val="ro-RO"/>
        </w:rPr>
        <w:t>Întocmit</w:t>
      </w:r>
    </w:p>
    <w:p w:rsidR="00AB4705" w:rsidRPr="00A8355C" w:rsidRDefault="00AB4705" w:rsidP="00AB4705">
      <w:pPr>
        <w:rPr>
          <w:color w:val="000000" w:themeColor="text1"/>
        </w:rPr>
      </w:pPr>
      <w:r>
        <w:tab/>
        <w:t xml:space="preserve">                                                       </w:t>
      </w:r>
      <w:r w:rsidR="0090392D">
        <w:t xml:space="preserve">               </w:t>
      </w:r>
      <w:r>
        <w:t xml:space="preserve"> </w:t>
      </w:r>
      <w:r w:rsidRPr="00A8355C">
        <w:rPr>
          <w:color w:val="000000" w:themeColor="text1"/>
        </w:rPr>
        <w:t xml:space="preserve">Subofiţer de administraţie </w:t>
      </w:r>
    </w:p>
    <w:p w:rsidR="00AB4705" w:rsidRPr="00A8355C" w:rsidRDefault="00AB4705" w:rsidP="00AB4705">
      <w:pPr>
        <w:rPr>
          <w:color w:val="000000" w:themeColor="text1"/>
        </w:rPr>
      </w:pPr>
      <w:r w:rsidRPr="00A8355C">
        <w:rPr>
          <w:color w:val="000000" w:themeColor="text1"/>
        </w:rPr>
        <w:t xml:space="preserve">                                                                           </w:t>
      </w:r>
      <w:r w:rsidR="0090392D">
        <w:rPr>
          <w:color w:val="000000" w:themeColor="text1"/>
        </w:rPr>
        <w:t xml:space="preserve">      </w:t>
      </w:r>
      <w:r w:rsidRPr="00A8355C">
        <w:rPr>
          <w:color w:val="000000" w:themeColor="text1"/>
        </w:rPr>
        <w:t xml:space="preserve">  Compartimentul secretariat şi relaţii publice</w:t>
      </w:r>
    </w:p>
    <w:p w:rsidR="00AB4705" w:rsidRPr="00A8355C" w:rsidRDefault="00AB4705" w:rsidP="00AB4705">
      <w:pPr>
        <w:rPr>
          <w:color w:val="000000" w:themeColor="text1"/>
        </w:rPr>
      </w:pPr>
      <w:r w:rsidRPr="00A8355C">
        <w:rPr>
          <w:color w:val="000000" w:themeColor="text1"/>
        </w:rPr>
        <w:t xml:space="preserve">                                                                          </w:t>
      </w:r>
      <w:r w:rsidR="0090392D">
        <w:rPr>
          <w:color w:val="000000" w:themeColor="text1"/>
        </w:rPr>
        <w:t xml:space="preserve">         </w:t>
      </w:r>
      <w:r w:rsidRPr="00A8355C">
        <w:rPr>
          <w:color w:val="000000" w:themeColor="text1"/>
        </w:rPr>
        <w:t xml:space="preserve"> Plutonier major </w:t>
      </w:r>
    </w:p>
    <w:p w:rsidR="00AB4705" w:rsidRPr="00A8355C" w:rsidRDefault="00AB4705" w:rsidP="00AB4705">
      <w:pPr>
        <w:rPr>
          <w:color w:val="000000" w:themeColor="text1"/>
        </w:rPr>
      </w:pPr>
      <w:r w:rsidRPr="00A8355C">
        <w:rPr>
          <w:color w:val="000000" w:themeColor="text1"/>
        </w:rPr>
        <w:t xml:space="preserve">                                                                                                        </w:t>
      </w:r>
      <w:r>
        <w:rPr>
          <w:color w:val="000000" w:themeColor="text1"/>
        </w:rPr>
        <w:t xml:space="preserve">       </w:t>
      </w:r>
      <w:r w:rsidR="0090392D" w:rsidRPr="00A8355C">
        <w:rPr>
          <w:color w:val="000000" w:themeColor="text1"/>
        </w:rPr>
        <w:t>Adrian GALIŢĂ</w:t>
      </w:r>
      <w:r>
        <w:rPr>
          <w:color w:val="000000" w:themeColor="text1"/>
        </w:rPr>
        <w:t xml:space="preserve">       </w:t>
      </w:r>
      <w:r w:rsidR="0090392D">
        <w:rPr>
          <w:color w:val="000000" w:themeColor="text1"/>
        </w:rPr>
        <w:t xml:space="preserve">                              </w:t>
      </w:r>
    </w:p>
    <w:p w:rsidR="00AB4705" w:rsidRPr="00CF4735" w:rsidRDefault="00AB4705" w:rsidP="00AB4705">
      <w:pPr>
        <w:tabs>
          <w:tab w:val="left" w:pos="8324"/>
        </w:tabs>
      </w:pPr>
    </w:p>
    <w:p w:rsidR="00A40AF7" w:rsidRDefault="00A40AF7"/>
    <w:sectPr w:rsidR="00A40AF7" w:rsidSect="00AB470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42" w:rsidRDefault="00390E42" w:rsidP="00AB4705">
      <w:r>
        <w:separator/>
      </w:r>
    </w:p>
  </w:endnote>
  <w:endnote w:type="continuationSeparator" w:id="0">
    <w:p w:rsidR="00390E42" w:rsidRDefault="00390E42" w:rsidP="00AB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46134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Content>
          <w:p w:rsidR="00CF4735" w:rsidRDefault="00320AA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NELASIFICAT</w:t>
            </w:r>
          </w:p>
          <w:p w:rsidR="00CF4735" w:rsidRPr="00FF7B2F" w:rsidRDefault="00590EB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AA7" w:rsidRPr="00FF7B2F">
              <w:rPr>
                <w:rFonts w:ascii="Times New Roman" w:hAnsi="Times New Roman" w:cs="Times New Roman"/>
              </w:rPr>
              <w:instrText xml:space="preserve"> PAGE </w:instrText>
            </w: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A416F">
              <w:rPr>
                <w:rFonts w:ascii="Times New Roman" w:hAnsi="Times New Roman" w:cs="Times New Roman"/>
                <w:noProof/>
              </w:rPr>
              <w:t>1</w:t>
            </w: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0AA7" w:rsidRPr="00FF7B2F">
              <w:rPr>
                <w:rFonts w:ascii="Times New Roman" w:hAnsi="Times New Roman" w:cs="Times New Roman"/>
              </w:rPr>
              <w:t xml:space="preserve"> </w:t>
            </w:r>
            <w:r w:rsidR="00320AA7">
              <w:rPr>
                <w:rFonts w:ascii="Times New Roman" w:hAnsi="Times New Roman" w:cs="Times New Roman"/>
              </w:rPr>
              <w:t>din</w:t>
            </w:r>
            <w:r w:rsidR="00320AA7" w:rsidRPr="00FF7B2F">
              <w:rPr>
                <w:rFonts w:ascii="Times New Roman" w:hAnsi="Times New Roman" w:cs="Times New Roman"/>
              </w:rPr>
              <w:t xml:space="preserve"> </w:t>
            </w: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AA7" w:rsidRPr="00FF7B2F">
              <w:rPr>
                <w:rFonts w:ascii="Times New Roman" w:hAnsi="Times New Roman" w:cs="Times New Roman"/>
              </w:rPr>
              <w:instrText xml:space="preserve"> NUMPAGES  </w:instrText>
            </w: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A416F">
              <w:rPr>
                <w:rFonts w:ascii="Times New Roman" w:hAnsi="Times New Roman" w:cs="Times New Roman"/>
                <w:noProof/>
              </w:rPr>
              <w:t>4</w:t>
            </w:r>
            <w:r w:rsidRPr="00FF7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F4735" w:rsidRDefault="00390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42" w:rsidRDefault="00390E42" w:rsidP="00AB4705">
      <w:r>
        <w:separator/>
      </w:r>
    </w:p>
  </w:footnote>
  <w:footnote w:type="continuationSeparator" w:id="0">
    <w:p w:rsidR="00390E42" w:rsidRDefault="00390E42" w:rsidP="00AB4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05"/>
    <w:rsid w:val="000F6CC9"/>
    <w:rsid w:val="001067B8"/>
    <w:rsid w:val="00110D72"/>
    <w:rsid w:val="001454A0"/>
    <w:rsid w:val="0018386A"/>
    <w:rsid w:val="00200BE0"/>
    <w:rsid w:val="00314033"/>
    <w:rsid w:val="00320AA7"/>
    <w:rsid w:val="00390E42"/>
    <w:rsid w:val="0039187F"/>
    <w:rsid w:val="003944F3"/>
    <w:rsid w:val="003C4FDA"/>
    <w:rsid w:val="00474C5F"/>
    <w:rsid w:val="004F249B"/>
    <w:rsid w:val="00590EB0"/>
    <w:rsid w:val="006529E5"/>
    <w:rsid w:val="00682AEF"/>
    <w:rsid w:val="006D4714"/>
    <w:rsid w:val="00717711"/>
    <w:rsid w:val="0072554F"/>
    <w:rsid w:val="007E3592"/>
    <w:rsid w:val="0087361A"/>
    <w:rsid w:val="008E0FBE"/>
    <w:rsid w:val="0090392D"/>
    <w:rsid w:val="00953280"/>
    <w:rsid w:val="009813B0"/>
    <w:rsid w:val="00A40AF7"/>
    <w:rsid w:val="00AB4705"/>
    <w:rsid w:val="00B373CE"/>
    <w:rsid w:val="00B8501C"/>
    <w:rsid w:val="00B85DCA"/>
    <w:rsid w:val="00BD79EE"/>
    <w:rsid w:val="00BF7A1B"/>
    <w:rsid w:val="00C4009A"/>
    <w:rsid w:val="00CA3090"/>
    <w:rsid w:val="00CA33ED"/>
    <w:rsid w:val="00CD6D95"/>
    <w:rsid w:val="00D102E3"/>
    <w:rsid w:val="00D51258"/>
    <w:rsid w:val="00D73E89"/>
    <w:rsid w:val="00D81959"/>
    <w:rsid w:val="00DA28B1"/>
    <w:rsid w:val="00DA416F"/>
    <w:rsid w:val="00E71AFC"/>
    <w:rsid w:val="00E74901"/>
    <w:rsid w:val="00F06BE2"/>
    <w:rsid w:val="00F2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47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4705"/>
  </w:style>
  <w:style w:type="paragraph" w:styleId="BalloonText">
    <w:name w:val="Balloon Text"/>
    <w:basedOn w:val="Normal"/>
    <w:link w:val="BalloonTextChar"/>
    <w:uiPriority w:val="99"/>
    <w:semiHidden/>
    <w:unhideWhenUsed/>
    <w:rsid w:val="00AB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7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dgnrugq3q/raport-de-evaluare-a-implementarii-legii-nr-544-2001-in-anul-hotarare-478-2016?dp=geydemzrgiyta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ege5.ro/Gratuit/gmztcnrq/legea-nr-544-2001-privind-liberul-acces-la-informatiile-de-interes-public?pid=12797656&amp;d=2020-01-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e5.ro/Gratuit/gmztcnrq/legea-nr-544-2001-privind-liberul-acces-la-informatiile-de-interes-public?d=2020-01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galitia</dc:creator>
  <cp:lastModifiedBy>galitia</cp:lastModifiedBy>
  <cp:revision>3</cp:revision>
  <cp:lastPrinted>2021-01-04T11:10:00Z</cp:lastPrinted>
  <dcterms:created xsi:type="dcterms:W3CDTF">2021-01-06T06:11:00Z</dcterms:created>
  <dcterms:modified xsi:type="dcterms:W3CDTF">2021-02-09T09:53:00Z</dcterms:modified>
</cp:coreProperties>
</file>